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-741044</wp:posOffset>
            </wp:positionH>
            <wp:positionV relativeFrom="paragraph">
              <wp:posOffset>-750569</wp:posOffset>
            </wp:positionV>
            <wp:extent cx="7562850" cy="21818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059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8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CE3EFA" w:rsidRDefault="00191BBE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Promoting health and hygiene</w:t>
      </w:r>
    </w:p>
    <w:p w14:paraId="00000003" w14:textId="77777777" w:rsidR="00CE3EFA" w:rsidRDefault="00CE3EFA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00000004" w14:textId="77777777" w:rsidR="00CE3EFA" w:rsidRDefault="00191BBE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Managing children with allergies, or who are sick or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infectious</w:t>
      </w:r>
      <w:proofErr w:type="gramEnd"/>
    </w:p>
    <w:p w14:paraId="00000005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(Including reporting notifiable diseases)</w:t>
      </w:r>
    </w:p>
    <w:p w14:paraId="00000006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07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Policy statement</w:t>
      </w:r>
    </w:p>
    <w:p w14:paraId="00000008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provide care for healthy children and promote health through identifying allergies and preventing contact with the allergenic substance and through preventing cross infection of viruses and bacterial infections.</w:t>
      </w:r>
    </w:p>
    <w:p w14:paraId="00000009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0A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0B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Procedures for children with allergies</w:t>
      </w:r>
    </w:p>
    <w:p w14:paraId="0000000C" w14:textId="77777777" w:rsidR="00CE3EFA" w:rsidRDefault="00191BBE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When parents start their children at the setting they are asked if their child suffers from any known allergies. This is recorded on the registration form.</w:t>
      </w:r>
    </w:p>
    <w:p w14:paraId="0000000D" w14:textId="77777777" w:rsidR="00CE3EFA" w:rsidRDefault="00191BBE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a child has an allergy, a risk assessment form is completed to detail the following:</w:t>
      </w:r>
    </w:p>
    <w:p w14:paraId="0000000E" w14:textId="77777777" w:rsidR="00CE3EFA" w:rsidRDefault="00191BBE">
      <w:pPr>
        <w:numPr>
          <w:ilvl w:val="0"/>
          <w:numId w:val="4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allergen</w:t>
      </w:r>
      <w:r>
        <w:rPr>
          <w:rFonts w:ascii="Arial" w:eastAsia="Arial" w:hAnsi="Arial" w:cs="Arial"/>
          <w:sz w:val="22"/>
          <w:szCs w:val="22"/>
        </w:rPr>
        <w:t xml:space="preserve"> (</w:t>
      </w:r>
      <w:proofErr w:type="gramStart"/>
      <w:r>
        <w:rPr>
          <w:rFonts w:ascii="Arial" w:eastAsia="Arial" w:hAnsi="Arial" w:cs="Arial"/>
          <w:sz w:val="22"/>
          <w:szCs w:val="22"/>
        </w:rPr>
        <w:t>i.e.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substance, material or living creature the child is allergic to such as nuts, eggs, bee stings, cats etc).</w:t>
      </w:r>
    </w:p>
    <w:p w14:paraId="0000000F" w14:textId="77777777" w:rsidR="00CE3EFA" w:rsidRDefault="00191BBE">
      <w:pPr>
        <w:numPr>
          <w:ilvl w:val="0"/>
          <w:numId w:val="4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nature of the allergic reactions </w:t>
      </w:r>
      <w:proofErr w:type="gramStart"/>
      <w:r>
        <w:rPr>
          <w:rFonts w:ascii="Arial" w:eastAsia="Arial" w:hAnsi="Arial" w:cs="Arial"/>
          <w:sz w:val="22"/>
          <w:szCs w:val="22"/>
        </w:rPr>
        <w:t>e.g.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anaphylactic shock reaction, including rash, reddening of skin, swelling, breathing problems etc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0" w14:textId="77777777" w:rsidR="00CE3EFA" w:rsidRDefault="00191BBE">
      <w:pPr>
        <w:numPr>
          <w:ilvl w:val="0"/>
          <w:numId w:val="4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to do in case of allergic reactions, any medication used and how it is to be used (</w:t>
      </w:r>
      <w:proofErr w:type="gramStart"/>
      <w:r>
        <w:rPr>
          <w:rFonts w:ascii="Arial" w:eastAsia="Arial" w:hAnsi="Arial" w:cs="Arial"/>
          <w:sz w:val="22"/>
          <w:szCs w:val="22"/>
        </w:rPr>
        <w:t>e.g.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Epipen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14:paraId="00000011" w14:textId="77777777" w:rsidR="00CE3EFA" w:rsidRDefault="00191BBE">
      <w:pPr>
        <w:numPr>
          <w:ilvl w:val="0"/>
          <w:numId w:val="4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Control measures – such as how the child can be prevented from contact with the allergen.</w:t>
      </w:r>
    </w:p>
    <w:p w14:paraId="00000012" w14:textId="77777777" w:rsidR="00CE3EFA" w:rsidRDefault="00191BBE">
      <w:pPr>
        <w:numPr>
          <w:ilvl w:val="0"/>
          <w:numId w:val="4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Review.</w:t>
      </w:r>
    </w:p>
    <w:p w14:paraId="00000013" w14:textId="77777777" w:rsidR="00CE3EFA" w:rsidRDefault="00191BBE">
      <w:pPr>
        <w:numPr>
          <w:ilvl w:val="0"/>
          <w:numId w:val="5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form is kept in the child’s personal file and a c</w:t>
      </w:r>
      <w:r>
        <w:rPr>
          <w:rFonts w:ascii="Arial" w:eastAsia="Arial" w:hAnsi="Arial" w:cs="Arial"/>
          <w:sz w:val="22"/>
          <w:szCs w:val="22"/>
        </w:rPr>
        <w:t xml:space="preserve">opy is displayed where staff can see it. </w:t>
      </w:r>
    </w:p>
    <w:p w14:paraId="00000014" w14:textId="77777777" w:rsidR="00CE3EFA" w:rsidRDefault="00191BBE">
      <w:pPr>
        <w:numPr>
          <w:ilvl w:val="0"/>
          <w:numId w:val="5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Padbury Pre-school is a nut free setting and </w:t>
      </w:r>
      <w:proofErr w:type="gramStart"/>
      <w:r>
        <w:rPr>
          <w:rFonts w:ascii="Arial" w:eastAsia="Arial" w:hAnsi="Arial" w:cs="Arial"/>
          <w:sz w:val="22"/>
          <w:szCs w:val="22"/>
        </w:rPr>
        <w:t>doesn’t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allow any type of nut or nut product on the premises. </w:t>
      </w:r>
    </w:p>
    <w:p w14:paraId="00000015" w14:textId="77777777" w:rsidR="00CE3EFA" w:rsidRDefault="00191BBE">
      <w:pPr>
        <w:numPr>
          <w:ilvl w:val="0"/>
          <w:numId w:val="5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Parents are made aware so that no nut or nut products are accidentally brought in, for example to a party.</w:t>
      </w:r>
    </w:p>
    <w:p w14:paraId="00000016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7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Insurance requirements for children with allergies and disabilities</w:t>
      </w:r>
    </w:p>
    <w:p w14:paraId="00000018" w14:textId="77777777" w:rsidR="00CE3EFA" w:rsidRDefault="00191B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insurance will automatically include children with any disability or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allergy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but certain procedures must be strictly adhered to as set out below. For children suffering life threatening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conditions, or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requiring invasive treatments; written confirmation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from your insurance provider must be obtained to extend the insurance.</w:t>
      </w:r>
    </w:p>
    <w:p w14:paraId="00000019" w14:textId="77777777" w:rsidR="00CE3EFA" w:rsidRDefault="00191B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-741044</wp:posOffset>
            </wp:positionH>
            <wp:positionV relativeFrom="paragraph">
              <wp:posOffset>58420</wp:posOffset>
            </wp:positionV>
            <wp:extent cx="7562850" cy="12122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8914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12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A" w14:textId="77777777" w:rsidR="00CE3EFA" w:rsidRDefault="00CE3EFA">
      <w:pPr>
        <w:widowControl w:val="0"/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B" w14:textId="77777777" w:rsidR="00CE3EFA" w:rsidRDefault="00191BBE">
      <w:pPr>
        <w:widowControl w:val="0"/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At all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times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the administration of medication must be compliant with the Welfare Requirements of the Early Years Foundation Stage and follow procedures based on advice given in </w:t>
      </w:r>
      <w:r>
        <w:rPr>
          <w:rFonts w:ascii="Arial" w:eastAsia="Arial" w:hAnsi="Arial" w:cs="Arial"/>
          <w:b/>
          <w:i/>
          <w:sz w:val="22"/>
          <w:szCs w:val="22"/>
        </w:rPr>
        <w:t>Managing Medicines in Schools and Early Years Settings</w:t>
      </w:r>
      <w:r>
        <w:rPr>
          <w:rFonts w:ascii="Arial" w:eastAsia="Arial" w:hAnsi="Arial" w:cs="Arial"/>
          <w:b/>
          <w:sz w:val="22"/>
          <w:szCs w:val="22"/>
        </w:rPr>
        <w:t xml:space="preserve"> (DfES 2005)</w:t>
      </w:r>
    </w:p>
    <w:p w14:paraId="0000001C" w14:textId="77777777" w:rsidR="00CE3EFA" w:rsidRDefault="00CE3EFA">
      <w:pPr>
        <w:widowControl w:val="0"/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D" w14:textId="77777777" w:rsidR="00CE3EFA" w:rsidRDefault="00191BBE">
      <w:pPr>
        <w:pStyle w:val="Heading4"/>
        <w:spacing w:before="0" w:after="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i/>
          <w:sz w:val="22"/>
          <w:szCs w:val="22"/>
        </w:rPr>
        <w:t>Oral Medica</w:t>
      </w:r>
      <w:r>
        <w:rPr>
          <w:rFonts w:ascii="Arial" w:eastAsia="Arial" w:hAnsi="Arial" w:cs="Arial"/>
          <w:b w:val="0"/>
          <w:i/>
          <w:sz w:val="22"/>
          <w:szCs w:val="22"/>
        </w:rPr>
        <w:t>tion</w:t>
      </w:r>
    </w:p>
    <w:p w14:paraId="0000001E" w14:textId="77777777" w:rsidR="00CE3EFA" w:rsidRDefault="00CE3EFA">
      <w:pPr>
        <w:widowControl w:val="0"/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Oral medications for example: asthma inhalers must be prescribed by a GP or have manufacturer’s instructions clearly written on them.</w:t>
      </w:r>
    </w:p>
    <w:p w14:paraId="00000020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pre-school must be provided with clear written instructions on how to administer such medication.</w:t>
      </w:r>
    </w:p>
    <w:p w14:paraId="00000021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risk asses</w:t>
      </w:r>
      <w:r>
        <w:rPr>
          <w:rFonts w:ascii="Arial" w:eastAsia="Arial" w:hAnsi="Arial" w:cs="Arial"/>
          <w:sz w:val="22"/>
          <w:szCs w:val="22"/>
        </w:rPr>
        <w:t>sment procedures need to be adhered to for the correct storage and administration of the medication.</w:t>
      </w:r>
    </w:p>
    <w:p w14:paraId="00000022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pre-school must have the parents or </w:t>
      </w:r>
      <w:proofErr w:type="gramStart"/>
      <w:r>
        <w:rPr>
          <w:rFonts w:ascii="Arial" w:eastAsia="Arial" w:hAnsi="Arial" w:cs="Arial"/>
          <w:sz w:val="22"/>
          <w:szCs w:val="22"/>
        </w:rPr>
        <w:t>guardians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prior written consent. This consent must be kept on file. It is not necessary to forward copy documents t</w:t>
      </w:r>
      <w:r>
        <w:rPr>
          <w:rFonts w:ascii="Arial" w:eastAsia="Arial" w:hAnsi="Arial" w:cs="Arial"/>
          <w:sz w:val="22"/>
          <w:szCs w:val="22"/>
        </w:rPr>
        <w:t xml:space="preserve">o your insurance provider. </w:t>
      </w:r>
    </w:p>
    <w:p w14:paraId="00000023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Life saving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medication &amp; invasive treatments - adrenaline injections (</w:t>
      </w:r>
      <w:proofErr w:type="spellStart"/>
      <w:r>
        <w:rPr>
          <w:rFonts w:ascii="Arial" w:eastAsia="Arial" w:hAnsi="Arial" w:cs="Arial"/>
          <w:sz w:val="22"/>
          <w:szCs w:val="22"/>
        </w:rPr>
        <w:t>Epipens</w:t>
      </w:r>
      <w:proofErr w:type="spellEnd"/>
      <w:r>
        <w:rPr>
          <w:rFonts w:ascii="Arial" w:eastAsia="Arial" w:hAnsi="Arial" w:cs="Arial"/>
          <w:sz w:val="22"/>
          <w:szCs w:val="22"/>
        </w:rPr>
        <w:t>) for anaphylactic shock reactions (caused by allergies to nuts, eggs etc) or invasive treatments such as rectal administration of Diazepam (for epilep</w:t>
      </w:r>
      <w:r>
        <w:rPr>
          <w:rFonts w:ascii="Arial" w:eastAsia="Arial" w:hAnsi="Arial" w:cs="Arial"/>
          <w:sz w:val="22"/>
          <w:szCs w:val="22"/>
        </w:rPr>
        <w:t>sy).</w:t>
      </w:r>
    </w:p>
    <w:p w14:paraId="00000024" w14:textId="77777777" w:rsidR="00CE3EFA" w:rsidRDefault="00191B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 pre-school must have:</w:t>
      </w:r>
    </w:p>
    <w:p w14:paraId="00000025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letter from the child's GP/consultant stating the child's condition and what medication if any is to be </w:t>
      </w:r>
      <w:proofErr w:type="gramStart"/>
      <w:r>
        <w:rPr>
          <w:rFonts w:ascii="Arial" w:eastAsia="Arial" w:hAnsi="Arial" w:cs="Arial"/>
          <w:sz w:val="22"/>
          <w:szCs w:val="22"/>
        </w:rPr>
        <w:t>administered;</w:t>
      </w:r>
      <w:proofErr w:type="gramEnd"/>
    </w:p>
    <w:p w14:paraId="00000026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written consent from the parent or guardian allowing staff to administer medication; and</w:t>
      </w:r>
    </w:p>
    <w:p w14:paraId="00000027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proof of training in the administration of such</w:t>
      </w:r>
      <w:r>
        <w:rPr>
          <w:rFonts w:ascii="Arial" w:eastAsia="Arial" w:hAnsi="Arial" w:cs="Arial"/>
          <w:sz w:val="22"/>
          <w:szCs w:val="22"/>
        </w:rPr>
        <w:t xml:space="preserve"> medication by the child's GP, a district nurse, children’s’ nurse specialist or a community paediatric nurse.</w:t>
      </w:r>
    </w:p>
    <w:p w14:paraId="00000028" w14:textId="77777777" w:rsidR="00CE3EFA" w:rsidRDefault="00CE3EFA">
      <w:pPr>
        <w:pStyle w:val="Heading4"/>
        <w:spacing w:before="0" w:after="0" w:line="360" w:lineRule="auto"/>
        <w:ind w:left="0" w:hanging="2"/>
        <w:rPr>
          <w:rFonts w:ascii="Arial" w:eastAsia="Arial" w:hAnsi="Arial" w:cs="Arial"/>
          <w:b w:val="0"/>
          <w:sz w:val="22"/>
          <w:szCs w:val="22"/>
        </w:rPr>
      </w:pPr>
    </w:p>
    <w:p w14:paraId="00000029" w14:textId="77777777" w:rsidR="00CE3EFA" w:rsidRDefault="00191BBE">
      <w:pPr>
        <w:pStyle w:val="Heading4"/>
        <w:spacing w:before="0" w:after="0" w:line="360" w:lineRule="auto"/>
        <w:ind w:left="0" w:hanging="2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i/>
          <w:sz w:val="22"/>
          <w:szCs w:val="22"/>
        </w:rPr>
        <w:t xml:space="preserve">Key person for special needs children - children requiring help with tubes to help them with everyday living </w:t>
      </w:r>
      <w:proofErr w:type="gramStart"/>
      <w:r>
        <w:rPr>
          <w:rFonts w:ascii="Arial" w:eastAsia="Arial" w:hAnsi="Arial" w:cs="Arial"/>
          <w:b w:val="0"/>
          <w:i/>
          <w:sz w:val="22"/>
          <w:szCs w:val="22"/>
        </w:rPr>
        <w:t>e.g.</w:t>
      </w:r>
      <w:proofErr w:type="gramEnd"/>
      <w:r>
        <w:rPr>
          <w:rFonts w:ascii="Arial" w:eastAsia="Arial" w:hAnsi="Arial" w:cs="Arial"/>
          <w:b w:val="0"/>
          <w:i/>
          <w:sz w:val="22"/>
          <w:szCs w:val="22"/>
        </w:rPr>
        <w:t xml:space="preserve"> breathing apparatus, to take n</w:t>
      </w:r>
      <w:r>
        <w:rPr>
          <w:rFonts w:ascii="Arial" w:eastAsia="Arial" w:hAnsi="Arial" w:cs="Arial"/>
          <w:b w:val="0"/>
          <w:i/>
          <w:sz w:val="22"/>
          <w:szCs w:val="22"/>
        </w:rPr>
        <w:t>ourishment, colostomy bags etc.</w:t>
      </w:r>
    </w:p>
    <w:p w14:paraId="0000002A" w14:textId="77777777" w:rsidR="00CE3EFA" w:rsidRDefault="00CE3EFA">
      <w:pPr>
        <w:ind w:left="0" w:hanging="2"/>
      </w:pPr>
    </w:p>
    <w:p w14:paraId="0000002B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Prior written consent from the child's parent or guardian to give treatment and/or medication prescribed by the child's GP.</w:t>
      </w:r>
    </w:p>
    <w:p w14:paraId="0000002C" w14:textId="77777777" w:rsidR="00CE3EFA" w:rsidRDefault="00191BBE">
      <w:pPr>
        <w:widowControl w:val="0"/>
        <w:numPr>
          <w:ilvl w:val="0"/>
          <w:numId w:val="9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Key person to have the relevant medical training/experience, which may include those who have received appropriate instructions from parents or guardians, or who have qualifications.</w:t>
      </w:r>
    </w:p>
    <w:p w14:paraId="0000002D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2E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Procedure for children who are sick or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infectious</w:t>
      </w:r>
      <w:proofErr w:type="gramEnd"/>
    </w:p>
    <w:p w14:paraId="0000002F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children appear unw</w:t>
      </w:r>
      <w:r>
        <w:rPr>
          <w:rFonts w:ascii="Arial" w:eastAsia="Arial" w:hAnsi="Arial" w:cs="Arial"/>
          <w:sz w:val="22"/>
          <w:szCs w:val="22"/>
        </w:rPr>
        <w:t xml:space="preserve">ell during the day – have a temperature, sickness, diarrhoea or pains, particularly in the head or stomach – the manager calls the parents and asks them to collect the </w:t>
      </w:r>
      <w:proofErr w:type="gramStart"/>
      <w:r>
        <w:rPr>
          <w:rFonts w:ascii="Arial" w:eastAsia="Arial" w:hAnsi="Arial" w:cs="Arial"/>
          <w:sz w:val="22"/>
          <w:szCs w:val="22"/>
        </w:rPr>
        <w:t>child, 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send a known carer to collect on their behalf.</w:t>
      </w:r>
    </w:p>
    <w:p w14:paraId="00000030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a child has a temperature, t</w:t>
      </w:r>
      <w:r>
        <w:rPr>
          <w:rFonts w:ascii="Arial" w:eastAsia="Arial" w:hAnsi="Arial" w:cs="Arial"/>
          <w:sz w:val="22"/>
          <w:szCs w:val="22"/>
        </w:rPr>
        <w:t xml:space="preserve">hey are kept </w:t>
      </w:r>
      <w:r>
        <w:rPr>
          <w:rFonts w:ascii="Arial" w:eastAsia="Arial" w:hAnsi="Arial" w:cs="Arial"/>
          <w:sz w:val="22"/>
          <w:szCs w:val="22"/>
        </w:rPr>
        <w:t xml:space="preserve">as cool as possible. </w:t>
      </w:r>
      <w:r>
        <w:rPr>
          <w:rFonts w:ascii="Arial" w:eastAsia="Arial" w:hAnsi="Arial" w:cs="Arial"/>
          <w:sz w:val="22"/>
          <w:szCs w:val="22"/>
        </w:rPr>
        <w:t>Temperature is taken using an ear thermometer kept near to the first aid box.</w:t>
      </w:r>
    </w:p>
    <w:p w14:paraId="00000031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In extreme cases of </w:t>
      </w:r>
      <w:proofErr w:type="gramStart"/>
      <w:r>
        <w:rPr>
          <w:rFonts w:ascii="Arial" w:eastAsia="Arial" w:hAnsi="Arial" w:cs="Arial"/>
          <w:sz w:val="22"/>
          <w:szCs w:val="22"/>
        </w:rPr>
        <w:t>emergency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child should be taken to the nearest hospital and the parent informed.</w:t>
      </w:r>
    </w:p>
    <w:p w14:paraId="00000032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Parents are asked to take their child t</w:t>
      </w:r>
      <w:r>
        <w:rPr>
          <w:rFonts w:ascii="Arial" w:eastAsia="Arial" w:hAnsi="Arial" w:cs="Arial"/>
          <w:sz w:val="22"/>
          <w:szCs w:val="22"/>
        </w:rPr>
        <w:t>o the doctor before returning them to the pre-school; the pre-school can refuse admittance to children who have a temperature, sickness and diarrhoea or a contagious infection or disease.</w:t>
      </w:r>
    </w:p>
    <w:p w14:paraId="00000033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Where children have been prescribed antibiotics, parents are asked t</w:t>
      </w:r>
      <w:r>
        <w:rPr>
          <w:rFonts w:ascii="Arial" w:eastAsia="Arial" w:hAnsi="Arial" w:cs="Arial"/>
          <w:sz w:val="22"/>
          <w:szCs w:val="22"/>
        </w:rPr>
        <w:t>o keep them at home for 48 hours before returning to the pre-school.</w:t>
      </w:r>
    </w:p>
    <w:p w14:paraId="00000034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diarrhoea, parents are asked to keep children home for 48 hours at the earliest, or until a formed stool is passed.</w:t>
      </w:r>
    </w:p>
    <w:p w14:paraId="00000035" w14:textId="77777777" w:rsidR="00CE3EFA" w:rsidRDefault="00191BBE">
      <w:pPr>
        <w:numPr>
          <w:ilvl w:val="0"/>
          <w:numId w:val="6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setting has a list of excludable diseases and current exclusi</w:t>
      </w:r>
      <w:r>
        <w:rPr>
          <w:rFonts w:ascii="Arial" w:eastAsia="Arial" w:hAnsi="Arial" w:cs="Arial"/>
          <w:sz w:val="22"/>
          <w:szCs w:val="22"/>
        </w:rPr>
        <w:t>on times. The full list is obtainable from www.patient.co.uk and includes common childhood illnesses such as measles.</w:t>
      </w:r>
    </w:p>
    <w:p w14:paraId="00000036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7" w14:textId="77777777" w:rsidR="00CE3EFA" w:rsidRDefault="00191BBE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Reporting of ‘notifiable diseases’</w:t>
      </w:r>
    </w:p>
    <w:p w14:paraId="00000038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9" w14:textId="77777777" w:rsidR="00CE3EFA" w:rsidRDefault="00191B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If a child or adult is diagnosed suffering from a notifiable disease under the Public Health (Infectious Diseases) Regulations 1988, the GP will report this to the Health Protection Agency.</w:t>
      </w:r>
    </w:p>
    <w:p w14:paraId="0000003A" w14:textId="77777777" w:rsidR="00CE3EFA" w:rsidRDefault="00191B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When the pre-school becomes aware, or is formally informed of the </w:t>
      </w:r>
      <w:r>
        <w:rPr>
          <w:rFonts w:ascii="Arial" w:eastAsia="Arial" w:hAnsi="Arial" w:cs="Arial"/>
          <w:color w:val="000000"/>
          <w:sz w:val="22"/>
          <w:szCs w:val="22"/>
        </w:rPr>
        <w:t>notifiable disease, the pre-school leader informs Ofsted and the management committee and then acts on any advice given by the Health Protection Agency.</w:t>
      </w:r>
    </w:p>
    <w:p w14:paraId="0000003B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C" w14:textId="77777777" w:rsidR="00CE3EFA" w:rsidRDefault="00191BBE">
      <w:pPr>
        <w:pStyle w:val="Heading1"/>
        <w:spacing w:before="0" w:after="0" w:line="360" w:lineRule="auto"/>
        <w:ind w:left="0" w:hanging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HIV/AIDS/Hepatitis procedure</w:t>
      </w:r>
    </w:p>
    <w:p w14:paraId="0000003D" w14:textId="77777777" w:rsidR="00CE3EFA" w:rsidRDefault="00CE3EFA">
      <w:pPr>
        <w:ind w:left="0" w:hanging="2"/>
      </w:pPr>
    </w:p>
    <w:p w14:paraId="0000003E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HIV virus, like other viruses such as Hepatitis, (A, B and C) are spread</w:t>
      </w:r>
      <w:r>
        <w:rPr>
          <w:rFonts w:ascii="Arial" w:eastAsia="Arial" w:hAnsi="Arial" w:cs="Arial"/>
          <w:sz w:val="22"/>
          <w:szCs w:val="22"/>
        </w:rPr>
        <w:t xml:space="preserve"> through body fluids. Hygiene precautions for dealing with body fluids are the same for all children and adults.</w:t>
      </w:r>
    </w:p>
    <w:p w14:paraId="0000003F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Single use vinyl gloves and aprons are worn when changing children’s nappies, pants and clothing that are soiled with blood, urine, </w:t>
      </w:r>
      <w:proofErr w:type="gramStart"/>
      <w:r>
        <w:rPr>
          <w:rFonts w:ascii="Arial" w:eastAsia="Arial" w:hAnsi="Arial" w:cs="Arial"/>
          <w:sz w:val="22"/>
          <w:szCs w:val="22"/>
        </w:rPr>
        <w:t>faeces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v</w:t>
      </w:r>
      <w:r>
        <w:rPr>
          <w:rFonts w:ascii="Arial" w:eastAsia="Arial" w:hAnsi="Arial" w:cs="Arial"/>
          <w:sz w:val="22"/>
          <w:szCs w:val="22"/>
        </w:rPr>
        <w:t>omit.</w:t>
      </w:r>
    </w:p>
    <w:p w14:paraId="00000040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Protective rubber gloves are used for cleaning/sluicing clothing after changing.</w:t>
      </w:r>
    </w:p>
    <w:p w14:paraId="00000041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Soiled clothing is rinsed and bagged for parents to collect.</w:t>
      </w:r>
    </w:p>
    <w:p w14:paraId="00000042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Spills of blood, urine, </w:t>
      </w:r>
      <w:proofErr w:type="gramStart"/>
      <w:r>
        <w:rPr>
          <w:rFonts w:ascii="Arial" w:eastAsia="Arial" w:hAnsi="Arial" w:cs="Arial"/>
          <w:sz w:val="22"/>
          <w:szCs w:val="22"/>
        </w:rPr>
        <w:t>faeces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vomit are cleared using mild disinfectant solution and mops; cloths used a</w:t>
      </w:r>
      <w:r>
        <w:rPr>
          <w:rFonts w:ascii="Arial" w:eastAsia="Arial" w:hAnsi="Arial" w:cs="Arial"/>
          <w:sz w:val="22"/>
          <w:szCs w:val="22"/>
        </w:rPr>
        <w:t>re disposed of with the clinical waste.</w:t>
      </w:r>
    </w:p>
    <w:p w14:paraId="00000043" w14:textId="77777777" w:rsidR="00CE3EFA" w:rsidRDefault="00191BBE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Tables and other furniture, furnishings or toys affected by blood, urine, </w:t>
      </w:r>
      <w:proofErr w:type="gramStart"/>
      <w:r>
        <w:rPr>
          <w:rFonts w:ascii="Arial" w:eastAsia="Arial" w:hAnsi="Arial" w:cs="Arial"/>
          <w:sz w:val="22"/>
          <w:szCs w:val="22"/>
        </w:rPr>
        <w:t>faeces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vomit are cleaned using a disinfectant.</w:t>
      </w:r>
    </w:p>
    <w:p w14:paraId="00000044" w14:textId="77777777" w:rsidR="00CE3EFA" w:rsidRDefault="00CE3EFA">
      <w:pPr>
        <w:pStyle w:val="Heading1"/>
        <w:spacing w:before="0" w:after="0" w:line="360" w:lineRule="auto"/>
        <w:ind w:left="0" w:hanging="2"/>
        <w:rPr>
          <w:sz w:val="22"/>
          <w:szCs w:val="22"/>
        </w:rPr>
      </w:pPr>
    </w:p>
    <w:p w14:paraId="00000045" w14:textId="77777777" w:rsidR="00CE3EFA" w:rsidRDefault="00191BBE">
      <w:pPr>
        <w:pStyle w:val="Heading1"/>
        <w:spacing w:before="0" w:after="0" w:line="360" w:lineRule="auto"/>
        <w:ind w:left="0" w:hanging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Nits and head lice</w:t>
      </w:r>
    </w:p>
    <w:p w14:paraId="00000046" w14:textId="77777777" w:rsidR="00CE3EFA" w:rsidRDefault="00CE3EFA">
      <w:pPr>
        <w:ind w:left="0" w:hanging="2"/>
      </w:pPr>
    </w:p>
    <w:p w14:paraId="00000047" w14:textId="77777777" w:rsidR="00CE3EFA" w:rsidRDefault="00191BB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Nits and head lice are not an excludable condition, although in exceptional cases a parent may be asked to keep the child away until the infestation has cleared.</w:t>
      </w:r>
    </w:p>
    <w:p w14:paraId="00000048" w14:textId="77777777" w:rsidR="00CE3EFA" w:rsidRDefault="00191BB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 identifying cases of head lice, the parent is informed.</w:t>
      </w:r>
    </w:p>
    <w:p w14:paraId="00000049" w14:textId="77777777" w:rsidR="00CE3EFA" w:rsidRDefault="00191BB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Reminder information would be put o</w:t>
      </w:r>
      <w:r>
        <w:rPr>
          <w:rFonts w:ascii="Arial" w:eastAsia="Arial" w:hAnsi="Arial" w:cs="Arial"/>
          <w:sz w:val="22"/>
          <w:szCs w:val="22"/>
        </w:rPr>
        <w:t>n a newsletter if there is a case in pre-school.</w:t>
      </w:r>
    </w:p>
    <w:p w14:paraId="0000004A" w14:textId="77777777" w:rsidR="00CE3EFA" w:rsidRDefault="00191BBE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letters to be sent out to all pre-school children.</w:t>
      </w:r>
    </w:p>
    <w:p w14:paraId="0000004B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4C" w14:textId="77777777" w:rsidR="00CE3EFA" w:rsidRDefault="00191BBE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Further guidance</w:t>
      </w:r>
    </w:p>
    <w:p w14:paraId="0000004D" w14:textId="77777777" w:rsidR="00CE3EFA" w:rsidRDefault="00CE3EF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4E" w14:textId="77777777" w:rsidR="00CE3EFA" w:rsidRDefault="00191B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Managing Medicines in Schools and Early Years Settings (DfES 2005)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http://publications.teachernet.gov.uk/eOrderingDownload/1448-2005PDF-EN-02.pdf</w:t>
      </w:r>
    </w:p>
    <w:p w14:paraId="0000004F" w14:textId="77777777" w:rsidR="00CE3EFA" w:rsidRDefault="00CE3EF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19" w:type="dxa"/>
        <w:tblLayout w:type="fixed"/>
        <w:tblLook w:val="0000" w:firstRow="0" w:lastRow="0" w:firstColumn="0" w:lastColumn="0" w:noHBand="0" w:noVBand="0"/>
      </w:tblPr>
      <w:tblGrid>
        <w:gridCol w:w="4519"/>
        <w:gridCol w:w="3421"/>
        <w:gridCol w:w="1879"/>
      </w:tblGrid>
      <w:tr w:rsidR="00CE3EFA" w14:paraId="40C948F5" w14:textId="77777777">
        <w:tc>
          <w:tcPr>
            <w:tcW w:w="4519" w:type="dxa"/>
          </w:tcPr>
          <w:p w14:paraId="00000050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3421" w:type="dxa"/>
            <w:tcBorders>
              <w:bottom w:val="single" w:sz="4" w:space="0" w:color="4F81BD"/>
            </w:tcBorders>
          </w:tcPr>
          <w:p w14:paraId="00000051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Padbury Pre-school</w:t>
            </w:r>
          </w:p>
        </w:tc>
        <w:tc>
          <w:tcPr>
            <w:tcW w:w="1879" w:type="dxa"/>
          </w:tcPr>
          <w:p w14:paraId="00000052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setting</w:t>
            </w:r>
          </w:p>
        </w:tc>
      </w:tr>
      <w:tr w:rsidR="00CE3EFA" w14:paraId="0500ABCF" w14:textId="77777777">
        <w:tc>
          <w:tcPr>
            <w:tcW w:w="4519" w:type="dxa"/>
          </w:tcPr>
          <w:p w14:paraId="00000053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Held on</w:t>
            </w:r>
          </w:p>
        </w:tc>
        <w:tc>
          <w:tcPr>
            <w:tcW w:w="3421" w:type="dxa"/>
            <w:tcBorders>
              <w:top w:val="single" w:sz="4" w:space="0" w:color="4F81BD"/>
              <w:bottom w:val="single" w:sz="4" w:space="0" w:color="4F81BD"/>
            </w:tcBorders>
          </w:tcPr>
          <w:p w14:paraId="00000054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29/06/21</w:t>
            </w:r>
          </w:p>
        </w:tc>
        <w:tc>
          <w:tcPr>
            <w:tcW w:w="1879" w:type="dxa"/>
          </w:tcPr>
          <w:p w14:paraId="00000055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(date)</w:t>
            </w:r>
          </w:p>
        </w:tc>
      </w:tr>
      <w:tr w:rsidR="00CE3EFA" w14:paraId="05CBDEA6" w14:textId="77777777">
        <w:tc>
          <w:tcPr>
            <w:tcW w:w="4519" w:type="dxa"/>
          </w:tcPr>
          <w:p w14:paraId="00000056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3421" w:type="dxa"/>
            <w:tcBorders>
              <w:top w:val="single" w:sz="4" w:space="0" w:color="4F81BD"/>
              <w:bottom w:val="single" w:sz="4" w:space="0" w:color="4F81BD"/>
            </w:tcBorders>
          </w:tcPr>
          <w:p w14:paraId="00000057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</w:t>
            </w:r>
            <w:r>
              <w:rPr>
                <w:rFonts w:ascii="Arial" w:eastAsia="Arial" w:hAnsi="Arial" w:cs="Arial"/>
              </w:rPr>
              <w:t xml:space="preserve"> 2024</w:t>
            </w:r>
          </w:p>
        </w:tc>
        <w:tc>
          <w:tcPr>
            <w:tcW w:w="1879" w:type="dxa"/>
          </w:tcPr>
          <w:p w14:paraId="00000058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(date)</w:t>
            </w:r>
          </w:p>
        </w:tc>
      </w:tr>
      <w:tr w:rsidR="00CE3EFA" w14:paraId="79292D7D" w14:textId="77777777">
        <w:tc>
          <w:tcPr>
            <w:tcW w:w="4519" w:type="dxa"/>
          </w:tcPr>
          <w:p w14:paraId="00000059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 on behalf of the committee</w:t>
            </w:r>
          </w:p>
        </w:tc>
        <w:tc>
          <w:tcPr>
            <w:tcW w:w="5300" w:type="dxa"/>
            <w:gridSpan w:val="2"/>
            <w:tcBorders>
              <w:bottom w:val="single" w:sz="4" w:space="0" w:color="4F81BD"/>
            </w:tcBorders>
          </w:tcPr>
          <w:p w14:paraId="0000005A" w14:textId="77777777" w:rsidR="00CE3EFA" w:rsidRDefault="00191BBE">
            <w:pPr>
              <w:spacing w:line="360" w:lineRule="auto"/>
              <w:ind w:left="1" w:hanging="3"/>
              <w:rPr>
                <w:rFonts w:ascii="Architects Daughter" w:eastAsia="Architects Daughter" w:hAnsi="Architects Daughter" w:cs="Architects Daughter"/>
                <w:sz w:val="32"/>
                <w:szCs w:val="32"/>
              </w:rPr>
            </w:pPr>
            <w:proofErr w:type="spellStart"/>
            <w:r>
              <w:rPr>
                <w:rFonts w:ascii="Architects Daughter" w:eastAsia="Architects Daughter" w:hAnsi="Architects Daughter" w:cs="Architects Daughter"/>
                <w:sz w:val="32"/>
                <w:szCs w:val="32"/>
              </w:rPr>
              <w:t>RMBiswell</w:t>
            </w:r>
            <w:proofErr w:type="spellEnd"/>
          </w:p>
        </w:tc>
      </w:tr>
      <w:tr w:rsidR="00CE3EFA" w14:paraId="3BC3148A" w14:textId="77777777"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000005C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53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0000005D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Rachel Biswell</w:t>
            </w:r>
          </w:p>
        </w:tc>
      </w:tr>
      <w:tr w:rsidR="00CE3EFA" w14:paraId="45F7BCFC" w14:textId="77777777"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000005F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Role of signatory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chair/owner)</w:t>
            </w:r>
          </w:p>
        </w:tc>
        <w:tc>
          <w:tcPr>
            <w:tcW w:w="53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00000060" w14:textId="77777777" w:rsidR="00CE3EFA" w:rsidRDefault="00191BB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Pre-School Manager</w:t>
            </w:r>
          </w:p>
        </w:tc>
      </w:tr>
    </w:tbl>
    <w:p w14:paraId="00000062" w14:textId="77777777" w:rsidR="00CE3EFA" w:rsidRDefault="00CE3EFA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CE3EFA">
      <w:pgSz w:w="11907" w:h="16839"/>
      <w:pgMar w:top="1152" w:right="1152" w:bottom="1152" w:left="1152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cts Daugh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D34"/>
    <w:multiLevelType w:val="multilevel"/>
    <w:tmpl w:val="4CCA42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492CDD"/>
    <w:multiLevelType w:val="multilevel"/>
    <w:tmpl w:val="8A045C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D35842"/>
    <w:multiLevelType w:val="multilevel"/>
    <w:tmpl w:val="519A142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780D39"/>
    <w:multiLevelType w:val="multilevel"/>
    <w:tmpl w:val="E020EE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07A302B"/>
    <w:multiLevelType w:val="multilevel"/>
    <w:tmpl w:val="27BCA8A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6C6EAB"/>
    <w:multiLevelType w:val="multilevel"/>
    <w:tmpl w:val="CE10B1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3F3F22"/>
    <w:multiLevelType w:val="multilevel"/>
    <w:tmpl w:val="983C9CF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100350"/>
    <w:multiLevelType w:val="multilevel"/>
    <w:tmpl w:val="9028CB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F00174E"/>
    <w:multiLevelType w:val="multilevel"/>
    <w:tmpl w:val="9C5C12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FA"/>
    <w:rsid w:val="00191BBE"/>
    <w:rsid w:val="00C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C93FB-18EB-4500-9A36-9E7AC996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character" w:customStyle="1" w:styleId="Heading1Char">
    <w:name w:val="Heading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u5hghMSQighf0mZov1rcQEgVg==">AMUW2mWSbTupP+pAf0yBQqmz/PxTE2eqoJudt2SitDxTvSFpWZGLRtTYXiM01rjFUxCYaA/hDbgrbCkXLWGjfcsg0ObzaKwmp94JciFB0lNkNRNHUq6iaxU=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Lindsey Howard</cp:lastModifiedBy>
  <cp:revision>2</cp:revision>
  <dcterms:created xsi:type="dcterms:W3CDTF">2021-07-07T09:24:00Z</dcterms:created>
  <dcterms:modified xsi:type="dcterms:W3CDTF">2021-07-07T09:24:00Z</dcterms:modified>
</cp:coreProperties>
</file>